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429F" w14:textId="77777777" w:rsidR="002F16AF" w:rsidRPr="00BE77E4" w:rsidRDefault="002F16AF" w:rsidP="00BE4C49">
      <w:pPr>
        <w:spacing w:line="240" w:lineRule="auto"/>
        <w:rPr>
          <w:b/>
          <w:bCs/>
        </w:rPr>
      </w:pPr>
    </w:p>
    <w:p w14:paraId="58DB9419" w14:textId="21EBA78C" w:rsidR="002F16AF" w:rsidRPr="004D3BB5" w:rsidRDefault="004D3BB5" w:rsidP="00BE4C49">
      <w:pPr>
        <w:spacing w:line="240" w:lineRule="auto"/>
        <w:jc w:val="center"/>
      </w:pPr>
      <w:r w:rsidRPr="004D3BB5">
        <w:rPr>
          <w:rFonts w:ascii="Times New Roman" w:hAnsi="Times New Roman" w:cs="Times New Roman"/>
          <w:b/>
          <w:bCs/>
          <w:sz w:val="28"/>
          <w:szCs w:val="28"/>
        </w:rPr>
        <w:t>EXTENDED ABSTRACT HEADLINE</w:t>
      </w:r>
      <w:r>
        <w:br/>
      </w:r>
      <w:r w:rsidRPr="00674C28">
        <w:rPr>
          <w:rFonts w:ascii="Times New Roman" w:hAnsi="Times New Roman" w:cs="Times New Roman"/>
        </w:rPr>
        <w:t xml:space="preserve">(TIMES NEW ROMAN, 14, BOLD) </w:t>
      </w:r>
    </w:p>
    <w:p w14:paraId="7ACD62D6" w14:textId="77777777" w:rsidR="002F16AF" w:rsidRDefault="002F16AF" w:rsidP="00BE4C49">
      <w:pPr>
        <w:spacing w:line="240" w:lineRule="auto"/>
      </w:pPr>
    </w:p>
    <w:p w14:paraId="38A67D08" w14:textId="2B460373" w:rsidR="004D3BB5" w:rsidRDefault="00402F1A" w:rsidP="004D3BB5">
      <w:pPr>
        <w:spacing w:line="240" w:lineRule="auto"/>
        <w:jc w:val="center"/>
      </w:pPr>
      <w:r>
        <w:rPr>
          <w:b/>
          <w:bCs/>
        </w:rPr>
        <w:t>Student 1</w:t>
      </w:r>
      <w:r w:rsidR="004D3BB5">
        <w:rPr>
          <w:b/>
          <w:bCs/>
        </w:rPr>
        <w:t>, Supervisor 1, Supervisor 2</w:t>
      </w:r>
      <w:r w:rsidR="004D3BB5">
        <w:rPr>
          <w:b/>
          <w:bCs/>
        </w:rPr>
        <w:br/>
      </w:r>
      <w:r w:rsidR="004D3BB5" w:rsidRPr="004D3BB5">
        <w:t>College of Computing, Informatics and Media</w:t>
      </w:r>
      <w:r w:rsidR="004D3BB5">
        <w:t>, Universiti Teknologi MARA Perlis Branch, Malaysia</w:t>
      </w:r>
    </w:p>
    <w:p w14:paraId="09AD780D" w14:textId="4A692A12" w:rsidR="004D3BB5" w:rsidRPr="00527BFE" w:rsidRDefault="004D3BB5" w:rsidP="004D3BB5">
      <w:pPr>
        <w:spacing w:line="240" w:lineRule="auto"/>
        <w:jc w:val="center"/>
        <w:rPr>
          <w:b/>
          <w:bCs/>
        </w:rPr>
      </w:pPr>
      <w:r w:rsidRPr="00674C28">
        <w:rPr>
          <w:b/>
          <w:bCs/>
        </w:rPr>
        <w:t>Supervisor 3</w:t>
      </w:r>
      <w:r w:rsidRPr="00674C28">
        <w:rPr>
          <w:b/>
          <w:bCs/>
        </w:rPr>
        <w:br/>
      </w:r>
      <w:r>
        <w:t>Other college, Other faculty, Other University, Other Country</w:t>
      </w:r>
    </w:p>
    <w:p w14:paraId="2A989A65" w14:textId="77777777" w:rsidR="002F16AF" w:rsidRDefault="002F16AF" w:rsidP="00BE4C49">
      <w:pPr>
        <w:spacing w:line="240" w:lineRule="auto"/>
      </w:pPr>
    </w:p>
    <w:p w14:paraId="3B67D462" w14:textId="41C28804" w:rsidR="002F16AF" w:rsidRPr="002A12D5" w:rsidRDefault="001B7B7A" w:rsidP="00BE4C4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Objective / Scope</w:t>
      </w:r>
      <w:r w:rsidR="00A14203">
        <w:rPr>
          <w:b/>
          <w:bCs/>
          <w:sz w:val="24"/>
          <w:szCs w:val="24"/>
        </w:rPr>
        <w:t xml:space="preserve"> (50-100</w:t>
      </w:r>
      <w:r w:rsidR="00AE3E8F">
        <w:rPr>
          <w:b/>
          <w:bCs/>
          <w:sz w:val="24"/>
          <w:szCs w:val="24"/>
        </w:rPr>
        <w:t xml:space="preserve"> words</w:t>
      </w:r>
      <w:r w:rsidR="00A14203">
        <w:rPr>
          <w:b/>
          <w:bCs/>
          <w:sz w:val="24"/>
          <w:szCs w:val="24"/>
        </w:rPr>
        <w:t>)</w:t>
      </w:r>
    </w:p>
    <w:p w14:paraId="24C30194" w14:textId="2A9C3213" w:rsidR="001B7B7A" w:rsidRDefault="002F16AF" w:rsidP="002A12D5">
      <w:pPr>
        <w:spacing w:line="240" w:lineRule="auto"/>
        <w:jc w:val="both"/>
      </w:pPr>
      <w:r>
        <w:t>The city of Sawahlunto was chosen to represent Indonesia at UNESCO as the world’s cultural city in 2016 and</w:t>
      </w:r>
      <w:r w:rsidR="002A12D5">
        <w:t xml:space="preserve"> </w:t>
      </w:r>
      <w:r>
        <w:t>this was unforeseen because this city has been declared as a dead city. In order to overcome the social and</w:t>
      </w:r>
      <w:r w:rsidR="002A12D5">
        <w:t xml:space="preserve"> </w:t>
      </w:r>
      <w:r>
        <w:t>economic situation, the city’s authorities have transformed the city by referring to the city’s past as a mining city.</w:t>
      </w:r>
      <w:r w:rsidR="002A12D5">
        <w:t xml:space="preserve"> </w:t>
      </w:r>
      <w:r>
        <w:t>This article analyses the meaning-making process in constructing the image of the city by utilizing collective</w:t>
      </w:r>
      <w:r w:rsidR="002A12D5">
        <w:t xml:space="preserve"> </w:t>
      </w:r>
      <w:r>
        <w:t>memory, particularly in constructing the name of Lubang Tambang Mbah Soero as a tourism site. The aim is to</w:t>
      </w:r>
      <w:r w:rsidR="002A12D5">
        <w:t xml:space="preserve"> </w:t>
      </w:r>
      <w:r>
        <w:t>explore the meaning-making process and the power relation within the process</w:t>
      </w:r>
      <w:r w:rsidR="00A14203">
        <w:t>.</w:t>
      </w:r>
      <w:r w:rsidR="002A12D5">
        <w:t xml:space="preserve"> </w:t>
      </w:r>
    </w:p>
    <w:p w14:paraId="3CCC0AF9" w14:textId="73C02430" w:rsidR="001B7B7A" w:rsidRPr="001B7B7A" w:rsidRDefault="001B7B7A" w:rsidP="001B7B7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Methods, Procedures, Process</w:t>
      </w:r>
      <w:r w:rsidR="00AE3E8F">
        <w:rPr>
          <w:b/>
          <w:bCs/>
          <w:sz w:val="24"/>
          <w:szCs w:val="24"/>
        </w:rPr>
        <w:t xml:space="preserve"> (100-150</w:t>
      </w:r>
      <w:r w:rsidR="00AE3E8F" w:rsidRPr="00AE3E8F">
        <w:rPr>
          <w:b/>
          <w:bCs/>
          <w:sz w:val="24"/>
          <w:szCs w:val="24"/>
        </w:rPr>
        <w:t xml:space="preserve"> </w:t>
      </w:r>
      <w:r w:rsidR="00AE3E8F">
        <w:rPr>
          <w:b/>
          <w:bCs/>
          <w:sz w:val="24"/>
          <w:szCs w:val="24"/>
        </w:rPr>
        <w:t>words)</w:t>
      </w:r>
    </w:p>
    <w:p w14:paraId="0973A6A0" w14:textId="77777777" w:rsidR="001B7B7A" w:rsidRDefault="002F16AF" w:rsidP="002A12D5">
      <w:pPr>
        <w:spacing w:line="240" w:lineRule="auto"/>
        <w:jc w:val="both"/>
      </w:pPr>
      <w:r>
        <w:t>Data were collected from participant observations, interviews and textual analysis by referring to and evaluating</w:t>
      </w:r>
      <w:r w:rsidR="002A12D5">
        <w:t xml:space="preserve"> </w:t>
      </w:r>
      <w:r>
        <w:t>existing concepts, such as collective memory and the image of the city. Research findings evaluate the notion of</w:t>
      </w:r>
      <w:r w:rsidR="002A12D5">
        <w:t xml:space="preserve"> </w:t>
      </w:r>
      <w:r>
        <w:t>orang rantai and reveal that the imbedded meaning, for example in the naming of Lubang Tambang Mbah Soero,</w:t>
      </w:r>
      <w:r w:rsidR="002A12D5">
        <w:t xml:space="preserve"> </w:t>
      </w:r>
      <w:r>
        <w:t>is in itself a complex ideological battleground. For example, the heroic depiction of orang rantai by the</w:t>
      </w:r>
      <w:r w:rsidR="002A12D5">
        <w:t xml:space="preserve"> </w:t>
      </w:r>
      <w:r>
        <w:t>government is not in line with the historical writings, which is based on Dutch archives and document studies. As</w:t>
      </w:r>
      <w:r w:rsidR="002A12D5">
        <w:t xml:space="preserve"> </w:t>
      </w:r>
      <w:r>
        <w:t>a penal colony, the Dutch colonial government played an important role in constructing the image of orang rantai</w:t>
      </w:r>
      <w:r w:rsidR="002A12D5">
        <w:t xml:space="preserve"> </w:t>
      </w:r>
      <w:r>
        <w:t xml:space="preserve">as criminals. </w:t>
      </w:r>
    </w:p>
    <w:p w14:paraId="10FBAF0F" w14:textId="06011B0F" w:rsidR="001B7B7A" w:rsidRPr="001B7B7A" w:rsidRDefault="001B7B7A" w:rsidP="001B7B7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Results, Observations, Conclusion</w:t>
      </w:r>
      <w:r w:rsidR="005D0DCA">
        <w:rPr>
          <w:b/>
          <w:bCs/>
          <w:sz w:val="24"/>
          <w:szCs w:val="24"/>
        </w:rPr>
        <w:t>s</w:t>
      </w:r>
      <w:r w:rsidR="00AE3E8F">
        <w:rPr>
          <w:b/>
          <w:bCs/>
          <w:sz w:val="24"/>
          <w:szCs w:val="24"/>
        </w:rPr>
        <w:t xml:space="preserve"> (100-200</w:t>
      </w:r>
      <w:r w:rsidR="00AE3E8F" w:rsidRPr="00AE3E8F">
        <w:rPr>
          <w:b/>
          <w:bCs/>
          <w:sz w:val="24"/>
          <w:szCs w:val="24"/>
        </w:rPr>
        <w:t xml:space="preserve"> </w:t>
      </w:r>
      <w:r w:rsidR="00AE3E8F">
        <w:rPr>
          <w:b/>
          <w:bCs/>
          <w:sz w:val="24"/>
          <w:szCs w:val="24"/>
        </w:rPr>
        <w:t>words)</w:t>
      </w:r>
    </w:p>
    <w:p w14:paraId="22597D90" w14:textId="34CBFED3" w:rsidR="002F16AF" w:rsidRDefault="002F16AF" w:rsidP="002A12D5">
      <w:pPr>
        <w:spacing w:line="240" w:lineRule="auto"/>
        <w:jc w:val="both"/>
      </w:pPr>
      <w:r>
        <w:t>In the recent depiction of orang rantai, from the government and also from the locals, there are no</w:t>
      </w:r>
      <w:r w:rsidR="002A12D5">
        <w:t xml:space="preserve"> </w:t>
      </w:r>
      <w:r>
        <w:t>similar ways of understanding what orang rantai mean in the transformation of Sawahlunto from a mining city</w:t>
      </w:r>
      <w:r w:rsidR="002A12D5">
        <w:t xml:space="preserve"> </w:t>
      </w:r>
      <w:r>
        <w:t>to a tourism city. This complicated and sometimes overlapping yet contrasting conversations between the</w:t>
      </w:r>
      <w:r w:rsidR="002A12D5">
        <w:t xml:space="preserve"> </w:t>
      </w:r>
      <w:r>
        <w:t>government, the memory of the people and historical writings on how orang rantai have been understood and</w:t>
      </w:r>
      <w:r w:rsidR="002A12D5">
        <w:t xml:space="preserve"> </w:t>
      </w:r>
      <w:r>
        <w:t>made sense of reflect how the meaning-making process is heavily embedded with the imbalanced power relation</w:t>
      </w:r>
      <w:r w:rsidR="002A12D5">
        <w:t xml:space="preserve"> </w:t>
      </w:r>
      <w:r>
        <w:t>between the actors involved. This article will finally reveal what is at stake in this state-sponsored heritage project</w:t>
      </w:r>
      <w:r w:rsidR="002A12D5">
        <w:t xml:space="preserve"> </w:t>
      </w:r>
      <w:r>
        <w:t>and tourist industry in reshaping Sawahlunto and its historical knowledge.</w:t>
      </w:r>
    </w:p>
    <w:p w14:paraId="5E32C132" w14:textId="5252DCA2" w:rsidR="002F16AF" w:rsidRDefault="002F16AF" w:rsidP="00BE4C49">
      <w:pPr>
        <w:spacing w:line="240" w:lineRule="auto"/>
      </w:pPr>
      <w:r w:rsidRPr="002A12D5">
        <w:rPr>
          <w:b/>
          <w:bCs/>
        </w:rPr>
        <w:t>Keywords</w:t>
      </w:r>
      <w:r>
        <w:t>:</w:t>
      </w:r>
      <w:r w:rsidR="00217718">
        <w:t xml:space="preserve"> </w:t>
      </w:r>
      <w:r>
        <w:t>orang rantai, collective memory, the image of the city</w:t>
      </w:r>
      <w:r w:rsidR="00972BB9">
        <w:t>,</w:t>
      </w:r>
      <w:r w:rsidR="00EF10CE">
        <w:t>UNESCO</w:t>
      </w:r>
      <w:r w:rsidR="00E20B64">
        <w:t xml:space="preserve"> </w:t>
      </w:r>
      <w:r w:rsidR="00E20B64" w:rsidRPr="00E20B64">
        <w:rPr>
          <w:b/>
          <w:bCs/>
        </w:rPr>
        <w:t>(3-6 keywords)</w:t>
      </w:r>
    </w:p>
    <w:p w14:paraId="5C2A8ABB" w14:textId="0D15F96D" w:rsidR="002F16AF" w:rsidRPr="002A12D5" w:rsidRDefault="002F16AF" w:rsidP="00BE4C49">
      <w:pPr>
        <w:spacing w:line="240" w:lineRule="auto"/>
        <w:rPr>
          <w:b/>
          <w:bCs/>
          <w:sz w:val="24"/>
          <w:szCs w:val="24"/>
        </w:rPr>
      </w:pPr>
      <w:r w:rsidRPr="002A12D5">
        <w:rPr>
          <w:b/>
          <w:bCs/>
          <w:sz w:val="24"/>
          <w:szCs w:val="24"/>
        </w:rPr>
        <w:t>Novelty of Research</w:t>
      </w:r>
      <w:r w:rsidR="00B83A0D">
        <w:rPr>
          <w:b/>
          <w:bCs/>
          <w:sz w:val="24"/>
          <w:szCs w:val="24"/>
        </w:rPr>
        <w:t xml:space="preserve"> / Product</w:t>
      </w:r>
      <w:r w:rsidRPr="002A12D5">
        <w:rPr>
          <w:b/>
          <w:bCs/>
          <w:sz w:val="24"/>
          <w:szCs w:val="24"/>
        </w:rPr>
        <w:t xml:space="preserve"> (1</w:t>
      </w:r>
      <w:r w:rsidR="00AE3E8F">
        <w:rPr>
          <w:b/>
          <w:bCs/>
          <w:sz w:val="24"/>
          <w:szCs w:val="24"/>
        </w:rPr>
        <w:t>00-200</w:t>
      </w:r>
      <w:r w:rsidRPr="002A12D5">
        <w:rPr>
          <w:b/>
          <w:bCs/>
          <w:sz w:val="24"/>
          <w:szCs w:val="24"/>
        </w:rPr>
        <w:t xml:space="preserve"> words)</w:t>
      </w:r>
    </w:p>
    <w:p w14:paraId="49E8EF29" w14:textId="54145111" w:rsidR="002F16AF" w:rsidRDefault="002F16AF" w:rsidP="002A12D5">
      <w:pPr>
        <w:spacing w:line="240" w:lineRule="auto"/>
        <w:jc w:val="both"/>
      </w:pPr>
      <w:r>
        <w:t>There have been a number of research that have investigated how a city develops, particularly those intended for</w:t>
      </w:r>
      <w:r w:rsidR="002A12D5">
        <w:t xml:space="preserve"> </w:t>
      </w:r>
      <w:r>
        <w:t>tourism, highlighting issues such as how space is constructed, economics, collective memory, and the social and</w:t>
      </w:r>
      <w:r w:rsidR="002A12D5">
        <w:t xml:space="preserve"> </w:t>
      </w:r>
      <w:r>
        <w:t>cultural structure of society (Conlin, 2011; Ballesteros, 2007; Wanhill, 2000). Previous research about Sawahlunto</w:t>
      </w:r>
      <w:r w:rsidR="002A12D5">
        <w:t xml:space="preserve"> </w:t>
      </w:r>
      <w:r>
        <w:t>was done through the perspective of city planning and how it relates to the social and cultural condition of society</w:t>
      </w:r>
      <w:r w:rsidR="002A12D5">
        <w:t xml:space="preserve"> </w:t>
      </w:r>
      <w:r>
        <w:t>(Arifman, 2014; Martokusumo, 2008; Nawanir, 2003; Suprayoga, 2008; Hendry, 2011). There have also been</w:t>
      </w:r>
      <w:r w:rsidR="002A12D5">
        <w:t xml:space="preserve"> </w:t>
      </w:r>
      <w:r>
        <w:t>several research on orang rantai in Sawahlunto (Alexander &amp; Wisdiarti, 2017; Fahmi, 2016; Kurniawati &amp;</w:t>
      </w:r>
      <w:r w:rsidR="002A12D5">
        <w:t xml:space="preserve"> </w:t>
      </w:r>
      <w:r>
        <w:t xml:space="preserve">Achnes, 2016); </w:t>
      </w:r>
      <w:r>
        <w:lastRenderedPageBreak/>
        <w:t>however, there has not been any research on how collective memory is used to construct the image</w:t>
      </w:r>
      <w:r w:rsidR="002A12D5">
        <w:t xml:space="preserve"> </w:t>
      </w:r>
      <w:r>
        <w:t>of the city in relation to its history and transformation. Therefore, the main focus of this research is how the</w:t>
      </w:r>
      <w:r w:rsidR="002A12D5">
        <w:t xml:space="preserve"> </w:t>
      </w:r>
      <w:r>
        <w:t>dominant meaning in the construction of the city’s image is all about the politics of collective memory (Kusno,</w:t>
      </w:r>
      <w:r w:rsidR="002A12D5">
        <w:t xml:space="preserve"> </w:t>
      </w:r>
      <w:r>
        <w:t>2009) and cultural heritage. All in all, the research aims to contribute to the scientific discussion that in making</w:t>
      </w:r>
      <w:r w:rsidR="002A12D5">
        <w:t xml:space="preserve"> </w:t>
      </w:r>
      <w:r>
        <w:t>sense of the past, there will always be a power play and the claiming of heritage spaces is in itself an ideological</w:t>
      </w:r>
      <w:r w:rsidR="002A12D5">
        <w:t xml:space="preserve"> </w:t>
      </w:r>
      <w:r>
        <w:t>battleground.</w:t>
      </w:r>
    </w:p>
    <w:p w14:paraId="082BD4CF" w14:textId="77777777" w:rsidR="002F16AF" w:rsidRPr="00D85316" w:rsidRDefault="002F16AF" w:rsidP="00BE4C49">
      <w:pPr>
        <w:spacing w:line="240" w:lineRule="auto"/>
        <w:rPr>
          <w:b/>
          <w:bCs/>
          <w:sz w:val="24"/>
          <w:szCs w:val="24"/>
        </w:rPr>
      </w:pPr>
      <w:r w:rsidRPr="00D85316">
        <w:rPr>
          <w:b/>
          <w:bCs/>
          <w:sz w:val="24"/>
          <w:szCs w:val="24"/>
        </w:rPr>
        <w:t>REFERENCE LIST</w:t>
      </w:r>
    </w:p>
    <w:p w14:paraId="70100C95" w14:textId="563A7F55" w:rsidR="002F16AF" w:rsidRDefault="002F16AF" w:rsidP="00C35C40">
      <w:pPr>
        <w:spacing w:after="0" w:line="240" w:lineRule="auto"/>
        <w:ind w:left="66"/>
        <w:jc w:val="both"/>
      </w:pPr>
      <w:r>
        <w:t>Alexander, R., &amp; Wisdiarti, L. (2017). Studi tentang Monumen Orang Rantai di Kota Sawahlunto. Serupa The</w:t>
      </w:r>
      <w:r w:rsidR="00B83A0D">
        <w:t xml:space="preserve"> </w:t>
      </w:r>
      <w:r>
        <w:t>Journal of Art Education, 6(1).</w:t>
      </w:r>
    </w:p>
    <w:p w14:paraId="1D33B7C6" w14:textId="77777777" w:rsidR="00C35C40" w:rsidRDefault="00C35C40" w:rsidP="00C35C40">
      <w:pPr>
        <w:spacing w:after="0" w:line="240" w:lineRule="auto"/>
        <w:ind w:left="66"/>
        <w:jc w:val="both"/>
      </w:pPr>
    </w:p>
    <w:p w14:paraId="0F8209F1" w14:textId="641DDCE0" w:rsidR="002F16AF" w:rsidRDefault="002F16AF" w:rsidP="00C35C40">
      <w:pPr>
        <w:spacing w:after="0" w:line="240" w:lineRule="auto"/>
        <w:ind w:left="66"/>
        <w:jc w:val="both"/>
      </w:pPr>
      <w:r>
        <w:t>Arifman, Parikesit, &amp; Teguh, H. (2014). Perencanaan Lanskap Kawasan Lahan Bekas Tambang Batu Bara untuk</w:t>
      </w:r>
      <w:r w:rsidR="00B83A0D">
        <w:t xml:space="preserve"> </w:t>
      </w:r>
      <w:r>
        <w:t>Kawasan Wisata Alam (Landscape Planning of Ex-Coal Mining for Nature Tourism). Thesis Journal of</w:t>
      </w:r>
      <w:r w:rsidR="00B83A0D">
        <w:t xml:space="preserve"> </w:t>
      </w:r>
      <w:r>
        <w:t>Environment, Natural Resources and Environment Management. 1-15.</w:t>
      </w:r>
    </w:p>
    <w:p w14:paraId="68AF752F" w14:textId="77777777" w:rsidR="00C35C40" w:rsidRDefault="00C35C40" w:rsidP="00C35C40">
      <w:pPr>
        <w:spacing w:after="0" w:line="240" w:lineRule="auto"/>
        <w:ind w:left="66"/>
        <w:jc w:val="both"/>
      </w:pPr>
    </w:p>
    <w:p w14:paraId="1FD2D91D" w14:textId="7CA96091" w:rsidR="002F16AF" w:rsidRDefault="002F16AF" w:rsidP="00C35C40">
      <w:pPr>
        <w:spacing w:after="0" w:line="240" w:lineRule="auto"/>
        <w:ind w:left="66"/>
        <w:jc w:val="both"/>
      </w:pPr>
      <w:r>
        <w:t>Ballesteros, E.R &amp; Ramırez, M.H. (2007). Identity and Community, Reflections on The Development of Mining</w:t>
      </w:r>
      <w:r w:rsidR="00B83A0D">
        <w:t xml:space="preserve"> </w:t>
      </w:r>
      <w:r>
        <w:t>Heritage Tourism in Southern Spain. Journal Elsevier, Tourism Management, 28, 677–687.</w:t>
      </w:r>
    </w:p>
    <w:p w14:paraId="76DFF0BE" w14:textId="2E2F76EC" w:rsidR="002F16AF" w:rsidRDefault="002F16AF" w:rsidP="00C35C40">
      <w:pPr>
        <w:spacing w:after="0" w:line="240" w:lineRule="auto"/>
        <w:ind w:left="66"/>
        <w:jc w:val="both"/>
      </w:pPr>
      <w:r>
        <w:t>Conlin, M.V (Eds.). (2011). Mining Heritage and Tourism. USA and Canada: Routledge Advances in Tourism.</w:t>
      </w:r>
    </w:p>
    <w:p w14:paraId="6DF21652" w14:textId="77777777" w:rsidR="00C35C40" w:rsidRDefault="00C35C40" w:rsidP="00C35C40">
      <w:pPr>
        <w:spacing w:after="0" w:line="240" w:lineRule="auto"/>
        <w:ind w:left="66"/>
        <w:jc w:val="both"/>
      </w:pPr>
    </w:p>
    <w:p w14:paraId="5E69C33D" w14:textId="7B4F38C7" w:rsidR="002F16AF" w:rsidRDefault="002F16AF" w:rsidP="00C35C40">
      <w:pPr>
        <w:spacing w:after="0" w:line="240" w:lineRule="auto"/>
        <w:ind w:left="66"/>
        <w:jc w:val="both"/>
      </w:pPr>
      <w:r>
        <w:t>Fahmi, K. B. (2016). Sanggar Kesenian Karawitan Bina Laras Dalam Usaha Pelestarian Kesenian Wayang Kulit</w:t>
      </w:r>
      <w:r w:rsidR="00B83A0D">
        <w:t xml:space="preserve"> </w:t>
      </w:r>
      <w:r>
        <w:t>Di Kota Sawahlunto Tahun 2002-2015 (The Karawitan Art Community in Preserving Shadow Puppet in</w:t>
      </w:r>
      <w:r w:rsidR="00B83A0D">
        <w:t xml:space="preserve"> </w:t>
      </w:r>
      <w:r>
        <w:t>Sawahlunto (2002-2015). (Doctoral dissertation, Universitas Andalas).</w:t>
      </w:r>
    </w:p>
    <w:p w14:paraId="29422733" w14:textId="77777777" w:rsidR="00C35C40" w:rsidRDefault="00C35C40" w:rsidP="00C35C40">
      <w:pPr>
        <w:spacing w:after="0" w:line="240" w:lineRule="auto"/>
        <w:ind w:left="66"/>
        <w:jc w:val="both"/>
      </w:pPr>
    </w:p>
    <w:p w14:paraId="701711F9" w14:textId="2D80E90D" w:rsidR="002F16AF" w:rsidRDefault="002F16AF" w:rsidP="00C35C40">
      <w:pPr>
        <w:spacing w:after="0" w:line="240" w:lineRule="auto"/>
        <w:ind w:left="66"/>
        <w:jc w:val="both"/>
      </w:pPr>
      <w:r>
        <w:t>Hendry, Y. (2011). Musik Keroncong Campur Sari dalam Pluralitas Budaya Masyarakat Sawahlunto (Musical</w:t>
      </w:r>
      <w:r w:rsidR="00B83A0D">
        <w:t xml:space="preserve"> </w:t>
      </w:r>
      <w:r>
        <w:t>Keroncong Campur Sari in the Cultural Plurality of Sawahlunto Society). Journal Resital Vol. 12, Number</w:t>
      </w:r>
      <w:r w:rsidR="00B83A0D">
        <w:t xml:space="preserve"> </w:t>
      </w:r>
      <w:r>
        <w:t>1.</w:t>
      </w:r>
    </w:p>
    <w:p w14:paraId="45796559" w14:textId="5D31E810" w:rsidR="00C35C40" w:rsidRDefault="00C35C40" w:rsidP="00C35C40">
      <w:pPr>
        <w:spacing w:after="0" w:line="240" w:lineRule="auto"/>
        <w:ind w:left="66"/>
        <w:jc w:val="both"/>
      </w:pPr>
    </w:p>
    <w:p w14:paraId="5EA09AC2" w14:textId="184D5C91" w:rsidR="00C35C40" w:rsidRPr="008C2B85" w:rsidRDefault="00C35C40" w:rsidP="00C35C40">
      <w:pPr>
        <w:spacing w:after="0" w:line="240" w:lineRule="auto"/>
        <w:ind w:left="66"/>
        <w:jc w:val="both"/>
        <w:rPr>
          <w:color w:val="FF0000"/>
        </w:rPr>
      </w:pPr>
      <w:r w:rsidRPr="008C2B85">
        <w:rPr>
          <w:color w:val="FF0000"/>
        </w:rPr>
        <w:t>*MAXIMUM 2 PAGE ONLY.</w:t>
      </w:r>
    </w:p>
    <w:p w14:paraId="6AE4EF21" w14:textId="6BB6B7A0" w:rsidR="00C35C40" w:rsidRDefault="00C35C40" w:rsidP="00C35C40">
      <w:pPr>
        <w:spacing w:after="0" w:line="240" w:lineRule="auto"/>
        <w:ind w:left="66"/>
        <w:jc w:val="both"/>
      </w:pPr>
    </w:p>
    <w:p w14:paraId="5BAF7207" w14:textId="77777777" w:rsidR="00C35C40" w:rsidRDefault="00C35C40" w:rsidP="00C35C40">
      <w:pPr>
        <w:spacing w:after="0" w:line="240" w:lineRule="auto"/>
        <w:ind w:left="66"/>
        <w:jc w:val="both"/>
      </w:pPr>
    </w:p>
    <w:sectPr w:rsidR="00C35C4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0F39" w14:textId="77777777" w:rsidR="00795C9E" w:rsidRDefault="00795C9E" w:rsidP="009A5588">
      <w:pPr>
        <w:spacing w:after="0" w:line="240" w:lineRule="auto"/>
      </w:pPr>
      <w:r>
        <w:separator/>
      </w:r>
    </w:p>
  </w:endnote>
  <w:endnote w:type="continuationSeparator" w:id="0">
    <w:p w14:paraId="4BF05659" w14:textId="77777777" w:rsidR="00795C9E" w:rsidRDefault="00795C9E" w:rsidP="009A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633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1C2BB" w14:textId="44E2E2CA" w:rsidR="00402F1A" w:rsidRDefault="00402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607B3" w14:textId="77777777" w:rsidR="00402F1A" w:rsidRDefault="00402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9A14" w14:textId="77777777" w:rsidR="00795C9E" w:rsidRDefault="00795C9E" w:rsidP="009A5588">
      <w:pPr>
        <w:spacing w:after="0" w:line="240" w:lineRule="auto"/>
      </w:pPr>
      <w:r>
        <w:separator/>
      </w:r>
    </w:p>
  </w:footnote>
  <w:footnote w:type="continuationSeparator" w:id="0">
    <w:p w14:paraId="3CF84576" w14:textId="77777777" w:rsidR="00795C9E" w:rsidRDefault="00795C9E" w:rsidP="009A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6A00" w14:textId="611566B9" w:rsidR="009A5588" w:rsidRDefault="00000000">
    <w:pPr>
      <w:pStyle w:val="Header"/>
    </w:pPr>
    <w:r>
      <w:rPr>
        <w:noProof/>
      </w:rPr>
      <w:pict w14:anchorId="0D12A3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69530" o:spid="_x0000_s1027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22F4" w14:textId="5295874E" w:rsidR="004D3BB5" w:rsidRDefault="00BD033D" w:rsidP="00BD033D">
    <w:pPr>
      <w:pStyle w:val="Header"/>
      <w:rPr>
        <w:rFonts w:ascii="Roboto" w:hAnsi="Roboto"/>
        <w:i/>
        <w:iCs/>
        <w:color w:val="2B2B2B"/>
        <w:sz w:val="18"/>
        <w:szCs w:val="18"/>
        <w:shd w:val="clear" w:color="auto" w:fill="FFFFFF"/>
        <w:lang w:val="en-US"/>
      </w:rPr>
    </w:pPr>
    <w:r>
      <w:rPr>
        <w:rFonts w:ascii="Roboto" w:hAnsi="Roboto"/>
        <w:i/>
        <w:iCs/>
        <w:color w:val="2B2B2B"/>
        <w:sz w:val="18"/>
        <w:szCs w:val="18"/>
        <w:shd w:val="clear" w:color="auto" w:fill="FFFFFF"/>
        <w:lang w:val="en-US"/>
      </w:rPr>
      <w:t>The 5</w:t>
    </w:r>
    <w:r w:rsidRPr="00BD033D">
      <w:rPr>
        <w:rFonts w:ascii="Roboto" w:hAnsi="Roboto"/>
        <w:i/>
        <w:iCs/>
        <w:color w:val="2B2B2B"/>
        <w:sz w:val="18"/>
        <w:szCs w:val="18"/>
        <w:shd w:val="clear" w:color="auto" w:fill="FFFFFF"/>
        <w:vertAlign w:val="superscript"/>
        <w:lang w:val="en-US"/>
      </w:rPr>
      <w:t>th</w:t>
    </w:r>
    <w:r>
      <w:rPr>
        <w:rFonts w:ascii="Roboto" w:hAnsi="Roboto"/>
        <w:i/>
        <w:iCs/>
        <w:color w:val="2B2B2B"/>
        <w:sz w:val="18"/>
        <w:szCs w:val="18"/>
        <w:shd w:val="clear" w:color="auto" w:fill="FFFFFF"/>
        <w:lang w:val="en-US"/>
      </w:rPr>
      <w:t xml:space="preserve"> </w:t>
    </w:r>
    <w:r w:rsidRPr="00BD033D">
      <w:rPr>
        <w:rFonts w:ascii="Roboto" w:hAnsi="Roboto"/>
        <w:i/>
        <w:iCs/>
        <w:color w:val="2B2B2B"/>
        <w:sz w:val="18"/>
        <w:szCs w:val="18"/>
        <w:shd w:val="clear" w:color="auto" w:fill="FFFFFF"/>
        <w:lang w:val="en-US"/>
      </w:rPr>
      <w:t>Research Exhibition in Mathematics and Computer Sciences</w:t>
    </w:r>
    <w:r w:rsidR="00402F1A">
      <w:rPr>
        <w:rFonts w:ascii="Roboto" w:hAnsi="Roboto"/>
        <w:i/>
        <w:iCs/>
        <w:color w:val="2B2B2B"/>
        <w:sz w:val="18"/>
        <w:szCs w:val="18"/>
        <w:shd w:val="clear" w:color="auto" w:fill="FFFFFF"/>
        <w:lang w:val="en-US"/>
      </w:rPr>
      <w:t xml:space="preserve"> (REMACS)</w:t>
    </w:r>
    <w:r w:rsidR="003C1A94">
      <w:rPr>
        <w:rFonts w:ascii="Roboto" w:hAnsi="Roboto"/>
        <w:i/>
        <w:iCs/>
        <w:color w:val="2B2B2B"/>
        <w:sz w:val="18"/>
        <w:szCs w:val="18"/>
        <w:shd w:val="clear" w:color="auto" w:fill="FFFFFF"/>
        <w:lang w:val="en-US"/>
      </w:rPr>
      <w:t xml:space="preserve"> / </w:t>
    </w:r>
  </w:p>
  <w:p w14:paraId="7D56ABF8" w14:textId="42943EAC" w:rsidR="009A5588" w:rsidRPr="00BD033D" w:rsidRDefault="003C1A94" w:rsidP="00BD033D">
    <w:pPr>
      <w:pStyle w:val="Header"/>
      <w:rPr>
        <w:i/>
        <w:iCs/>
        <w:sz w:val="14"/>
        <w:szCs w:val="14"/>
        <w:lang w:val="en-US"/>
      </w:rPr>
    </w:pPr>
    <w:r>
      <w:rPr>
        <w:rFonts w:ascii="Roboto" w:hAnsi="Roboto"/>
        <w:i/>
        <w:iCs/>
        <w:color w:val="2B2B2B"/>
        <w:sz w:val="18"/>
        <w:szCs w:val="18"/>
        <w:shd w:val="clear" w:color="auto" w:fill="FFFFFF"/>
        <w:lang w:val="en-US"/>
      </w:rPr>
      <w:t>ISBN: 978-xxxxxxxx-xx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A197" w14:textId="50F3903D" w:rsidR="009A5588" w:rsidRDefault="00000000">
    <w:pPr>
      <w:pStyle w:val="Header"/>
    </w:pPr>
    <w:r>
      <w:rPr>
        <w:noProof/>
      </w:rPr>
      <w:pict w14:anchorId="2AF14A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69529" o:spid="_x0000_s1025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C6883"/>
    <w:multiLevelType w:val="hybridMultilevel"/>
    <w:tmpl w:val="7968FA7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25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sTAzMjQxMwUiYyUdpeDU4uLM/DyQAsNaAGAf9MIsAAAA"/>
  </w:docVars>
  <w:rsids>
    <w:rsidRoot w:val="002F16AF"/>
    <w:rsid w:val="000E2CDC"/>
    <w:rsid w:val="001B7B7A"/>
    <w:rsid w:val="00217718"/>
    <w:rsid w:val="002A12D5"/>
    <w:rsid w:val="002D0DC9"/>
    <w:rsid w:val="002F16AF"/>
    <w:rsid w:val="003C1A94"/>
    <w:rsid w:val="003C4C5A"/>
    <w:rsid w:val="00402F1A"/>
    <w:rsid w:val="00454834"/>
    <w:rsid w:val="004D3BB5"/>
    <w:rsid w:val="00527BFE"/>
    <w:rsid w:val="005D0DCA"/>
    <w:rsid w:val="00663EFA"/>
    <w:rsid w:val="00674C28"/>
    <w:rsid w:val="006E3BCA"/>
    <w:rsid w:val="00733E93"/>
    <w:rsid w:val="00773117"/>
    <w:rsid w:val="00795C9E"/>
    <w:rsid w:val="007D75F5"/>
    <w:rsid w:val="00810664"/>
    <w:rsid w:val="008C2B85"/>
    <w:rsid w:val="008D36CE"/>
    <w:rsid w:val="00972BB9"/>
    <w:rsid w:val="009A5588"/>
    <w:rsid w:val="00A14203"/>
    <w:rsid w:val="00AE3E8F"/>
    <w:rsid w:val="00B60041"/>
    <w:rsid w:val="00B83A0D"/>
    <w:rsid w:val="00BD033D"/>
    <w:rsid w:val="00BE4C49"/>
    <w:rsid w:val="00BE77E4"/>
    <w:rsid w:val="00C35C40"/>
    <w:rsid w:val="00CB1769"/>
    <w:rsid w:val="00D85316"/>
    <w:rsid w:val="00D93B4D"/>
    <w:rsid w:val="00E20B64"/>
    <w:rsid w:val="00E9495B"/>
    <w:rsid w:val="00EF10CE"/>
    <w:rsid w:val="00F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B722E"/>
  <w15:chartTrackingRefBased/>
  <w15:docId w15:val="{475A4BB3-C40E-42D8-851D-893DF301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88"/>
  </w:style>
  <w:style w:type="paragraph" w:styleId="Footer">
    <w:name w:val="footer"/>
    <w:basedOn w:val="Normal"/>
    <w:link w:val="FooterChar"/>
    <w:uiPriority w:val="99"/>
    <w:unhideWhenUsed/>
    <w:rsid w:val="009A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D51A03-72C9-5044-B82B-3AEFCD4B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 Haza Nasution</dc:creator>
  <cp:keywords/>
  <dc:description/>
  <cp:lastModifiedBy>Mohammad Hafiz</cp:lastModifiedBy>
  <cp:revision>12</cp:revision>
  <dcterms:created xsi:type="dcterms:W3CDTF">2023-01-06T01:29:00Z</dcterms:created>
  <dcterms:modified xsi:type="dcterms:W3CDTF">2023-01-06T02:09:00Z</dcterms:modified>
</cp:coreProperties>
</file>